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DC61A" w14:textId="539BB2A4" w:rsidR="00F12E1C" w:rsidRPr="00142A52" w:rsidRDefault="00F12E1C" w:rsidP="00142A52">
      <w:pPr>
        <w:ind w:left="3240" w:hanging="360"/>
        <w:rPr>
          <w:b/>
          <w:bCs/>
          <w:i/>
          <w:iCs/>
          <w:sz w:val="36"/>
          <w:szCs w:val="36"/>
        </w:rPr>
      </w:pPr>
      <w:r w:rsidRPr="00142A52">
        <w:rPr>
          <w:b/>
          <w:bCs/>
          <w:i/>
          <w:iCs/>
          <w:sz w:val="36"/>
          <w:szCs w:val="36"/>
        </w:rPr>
        <w:t>Blue</w:t>
      </w:r>
      <w:r w:rsidR="00F92BEB">
        <w:rPr>
          <w:b/>
          <w:bCs/>
          <w:i/>
          <w:iCs/>
          <w:sz w:val="36"/>
          <w:szCs w:val="36"/>
        </w:rPr>
        <w:t xml:space="preserve"> </w:t>
      </w:r>
      <w:r w:rsidRPr="00142A52">
        <w:rPr>
          <w:b/>
          <w:bCs/>
          <w:i/>
          <w:iCs/>
          <w:sz w:val="36"/>
          <w:szCs w:val="36"/>
        </w:rPr>
        <w:t>Squirrel NPL Fund, I</w:t>
      </w:r>
    </w:p>
    <w:p w14:paraId="5EFDE1FB" w14:textId="7AA91423" w:rsidR="00F12E1C" w:rsidRPr="00142A52" w:rsidRDefault="00F12E1C" w:rsidP="00142A52">
      <w:pPr>
        <w:ind w:left="3240" w:hanging="360"/>
        <w:rPr>
          <w:b/>
          <w:bCs/>
          <w:i/>
          <w:iCs/>
          <w:sz w:val="36"/>
          <w:szCs w:val="36"/>
        </w:rPr>
      </w:pPr>
      <w:r w:rsidRPr="00142A52">
        <w:rPr>
          <w:b/>
          <w:bCs/>
          <w:i/>
          <w:iCs/>
          <w:sz w:val="36"/>
          <w:szCs w:val="36"/>
        </w:rPr>
        <w:t xml:space="preserve">Slide </w:t>
      </w:r>
      <w:r w:rsidR="00142A52" w:rsidRPr="00142A52">
        <w:rPr>
          <w:b/>
          <w:bCs/>
          <w:i/>
          <w:iCs/>
          <w:sz w:val="36"/>
          <w:szCs w:val="36"/>
        </w:rPr>
        <w:t>Outline</w:t>
      </w:r>
    </w:p>
    <w:p w14:paraId="6271F5DB" w14:textId="77777777" w:rsidR="00142A52" w:rsidRDefault="00142A52" w:rsidP="00B333F4">
      <w:pPr>
        <w:ind w:left="720" w:hanging="360"/>
      </w:pPr>
    </w:p>
    <w:p w14:paraId="2B5822D2" w14:textId="77777777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6F3C8EC1" w14:textId="28EF2C21" w:rsidR="00F4389C" w:rsidRDefault="00F4389C" w:rsidP="00F4389C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The </w:t>
      </w:r>
      <w:r>
        <w:rPr>
          <w:rFonts w:ascii="Palatino Linotype" w:hAnsi="Palatino Linotype"/>
          <w:sz w:val="24"/>
          <w:szCs w:val="24"/>
        </w:rPr>
        <w:t>Edge</w:t>
      </w:r>
    </w:p>
    <w:p w14:paraId="7A7CC9B3" w14:textId="2052BE75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21614DAC" w14:textId="4397840D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Experience with fund management and asset disposal. Utilizing the clues and hints that borrowers and guarantors leave on the Internet, we </w:t>
      </w:r>
      <w:r w:rsidR="004D2265">
        <w:rPr>
          <w:rFonts w:ascii="Palatino Linotype" w:hAnsi="Palatino Linotype"/>
          <w:sz w:val="24"/>
          <w:szCs w:val="24"/>
        </w:rPr>
        <w:t>can</w:t>
      </w:r>
      <w:r>
        <w:rPr>
          <w:rFonts w:ascii="Palatino Linotype" w:hAnsi="Palatino Linotype"/>
          <w:sz w:val="24"/>
          <w:szCs w:val="24"/>
        </w:rPr>
        <w:t xml:space="preserve"> special service assets and collect on them more quickly and maximize return.</w:t>
      </w:r>
    </w:p>
    <w:p w14:paraId="26B1C403" w14:textId="0CB9600A" w:rsidR="004D2265" w:rsidRDefault="004D2265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3EA614E8" w14:textId="7C271FE6" w:rsidR="004D2265" w:rsidRDefault="004D2265" w:rsidP="00F4389C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Much of the technology and experience as a team can be attributed to the team’s experience at Blueacorn. The principals </w:t>
      </w:r>
      <w:r w:rsidR="00ED68F4">
        <w:rPr>
          <w:rFonts w:ascii="Palatino Linotype" w:hAnsi="Palatino Linotype"/>
          <w:sz w:val="24"/>
          <w:szCs w:val="24"/>
        </w:rPr>
        <w:t>were the management team that came on in March 2020 and grew the business from less than 12,000 PPP loans to more than 800,000.</w:t>
      </w:r>
    </w:p>
    <w:p w14:paraId="4A1B553A" w14:textId="77777777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7D0B61EC" w14:textId="23929999" w:rsidR="00F4389C" w:rsidRDefault="00F4389C" w:rsidP="00F4389C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Technology</w:t>
      </w:r>
    </w:p>
    <w:p w14:paraId="572E3ACC" w14:textId="77777777" w:rsidR="00F4389C" w:rsidRPr="006C38C5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013D725C" w14:textId="77777777" w:rsidR="00F4389C" w:rsidRPr="006C38C5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Most lenders and servicers use FICS or </w:t>
      </w:r>
      <w:proofErr w:type="spellStart"/>
      <w:r w:rsidRPr="006C38C5">
        <w:rPr>
          <w:rFonts w:ascii="Palatino Linotype" w:hAnsi="Palatino Linotype"/>
          <w:sz w:val="24"/>
          <w:szCs w:val="24"/>
        </w:rPr>
        <w:t>LoanServ</w:t>
      </w:r>
      <w:proofErr w:type="spellEnd"/>
      <w:r w:rsidRPr="006C38C5">
        <w:rPr>
          <w:rFonts w:ascii="Palatino Linotype" w:hAnsi="Palatino Linotype"/>
          <w:sz w:val="24"/>
          <w:szCs w:val="24"/>
        </w:rPr>
        <w:t xml:space="preserve"> and then software like CARM-Pro for collections. </w:t>
      </w:r>
    </w:p>
    <w:p w14:paraId="2D58EACC" w14:textId="77777777" w:rsidR="00F4389C" w:rsidRPr="006C38C5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47345081" w14:textId="5CF977EC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These software packages fail to address the most important factors which is to analyze the borrower (and the guarantors) to allow for customized collection plans.</w:t>
      </w:r>
      <w:r>
        <w:rPr>
          <w:rFonts w:ascii="Palatino Linotype" w:hAnsi="Palatino Linotype"/>
          <w:sz w:val="24"/>
          <w:szCs w:val="24"/>
        </w:rPr>
        <w:t xml:space="preserve"> We use enhanced skip tracing developed during PPP forgiveness and collection efforts with advanced social media logic. </w:t>
      </w:r>
    </w:p>
    <w:p w14:paraId="697A8288" w14:textId="1BEE8788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28D22401" w14:textId="353B408D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Finally, we use </w:t>
      </w:r>
      <w:r w:rsidR="00F840C0">
        <w:rPr>
          <w:rFonts w:ascii="Palatino Linotype" w:hAnsi="Palatino Linotype"/>
          <w:sz w:val="24"/>
          <w:szCs w:val="24"/>
        </w:rPr>
        <w:t>evolving algorithms to price and purchase NPL portfolios at the correct price.</w:t>
      </w:r>
    </w:p>
    <w:p w14:paraId="3D282CE7" w14:textId="494F5EED" w:rsidR="004D2265" w:rsidRDefault="004D2265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177451B0" w14:textId="4D0FE5FF" w:rsidR="00343821" w:rsidRPr="006C38C5" w:rsidRDefault="00B333F4" w:rsidP="00343821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The People</w:t>
      </w:r>
    </w:p>
    <w:p w14:paraId="41CF07DB" w14:textId="0A68EBE3" w:rsidR="00F840C0" w:rsidRDefault="00343821" w:rsidP="00343821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Barry </w:t>
      </w:r>
      <w:proofErr w:type="gramStart"/>
      <w:r w:rsidRPr="006C38C5">
        <w:rPr>
          <w:rFonts w:ascii="Palatino Linotype" w:hAnsi="Palatino Linotype"/>
          <w:sz w:val="24"/>
          <w:szCs w:val="24"/>
        </w:rPr>
        <w:t>Calhoun</w:t>
      </w:r>
      <w:r w:rsidR="009D3987">
        <w:rPr>
          <w:rFonts w:ascii="Palatino Linotype" w:hAnsi="Palatino Linotype"/>
          <w:sz w:val="24"/>
          <w:szCs w:val="24"/>
        </w:rPr>
        <w:t xml:space="preserve"> </w:t>
      </w:r>
      <w:r w:rsidR="004D2265">
        <w:rPr>
          <w:rFonts w:ascii="Palatino Linotype" w:hAnsi="Palatino Linotype"/>
          <w:sz w:val="24"/>
          <w:szCs w:val="24"/>
        </w:rPr>
        <w:t>,</w:t>
      </w:r>
      <w:proofErr w:type="gramEnd"/>
      <w:r w:rsidR="004D2265">
        <w:rPr>
          <w:rFonts w:ascii="Palatino Linotype" w:hAnsi="Palatino Linotype"/>
          <w:sz w:val="24"/>
          <w:szCs w:val="24"/>
        </w:rPr>
        <w:t xml:space="preserve"> Managing Partner</w:t>
      </w:r>
      <w:r w:rsidR="00F92BEB">
        <w:rPr>
          <w:rFonts w:ascii="Palatino Linotype" w:hAnsi="Palatino Linotype"/>
          <w:sz w:val="24"/>
          <w:szCs w:val="24"/>
        </w:rPr>
        <w:t>, Investment Committee</w:t>
      </w:r>
    </w:p>
    <w:p w14:paraId="0B43BEAC" w14:textId="24F15032" w:rsidR="00343821" w:rsidRDefault="00F840C0" w:rsidP="00F840C0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More than 20 years of banking experience with Merrill Lynch, Bank of </w:t>
      </w:r>
      <w:proofErr w:type="gramStart"/>
      <w:r>
        <w:rPr>
          <w:rFonts w:ascii="Palatino Linotype" w:hAnsi="Palatino Linotype"/>
          <w:sz w:val="24"/>
          <w:szCs w:val="24"/>
        </w:rPr>
        <w:t>America</w:t>
      </w:r>
      <w:proofErr w:type="gramEnd"/>
      <w:r>
        <w:rPr>
          <w:rFonts w:ascii="Palatino Linotype" w:hAnsi="Palatino Linotype"/>
          <w:sz w:val="24"/>
          <w:szCs w:val="24"/>
        </w:rPr>
        <w:t xml:space="preserve"> and </w:t>
      </w:r>
      <w:proofErr w:type="spellStart"/>
      <w:r>
        <w:rPr>
          <w:rFonts w:ascii="Palatino Linotype" w:hAnsi="Palatino Linotype"/>
          <w:sz w:val="24"/>
          <w:szCs w:val="24"/>
        </w:rPr>
        <w:t>FifthThird</w:t>
      </w:r>
      <w:proofErr w:type="spellEnd"/>
      <w:r>
        <w:rPr>
          <w:rFonts w:ascii="Palatino Linotype" w:hAnsi="Palatino Linotype"/>
          <w:sz w:val="24"/>
          <w:szCs w:val="24"/>
        </w:rPr>
        <w:t xml:space="preserve"> Bank</w:t>
      </w:r>
    </w:p>
    <w:p w14:paraId="589E5652" w14:textId="4B64417C" w:rsidR="00F840C0" w:rsidRDefault="00F840C0" w:rsidP="00F840C0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Director of Larson Capital Management, in less than 5 years, achieved 4x AUM and outsized returns managing distressed asset fund. Developed framework for additional funds. </w:t>
      </w:r>
    </w:p>
    <w:p w14:paraId="7634A622" w14:textId="680BACA0" w:rsidR="00F840C0" w:rsidRDefault="007B690C" w:rsidP="00F840C0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CEO of Blueacorn.</w:t>
      </w:r>
    </w:p>
    <w:p w14:paraId="546B6F2F" w14:textId="77777777" w:rsidR="007B690C" w:rsidRPr="006C38C5" w:rsidRDefault="007B690C" w:rsidP="007B690C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14:paraId="53BC2D92" w14:textId="66EC7E0D" w:rsidR="007B690C" w:rsidRDefault="00343821" w:rsidP="00343821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Jonathan Frutkin</w:t>
      </w:r>
      <w:r w:rsidR="004D2265">
        <w:rPr>
          <w:rFonts w:ascii="Palatino Linotype" w:hAnsi="Palatino Linotype"/>
          <w:sz w:val="24"/>
          <w:szCs w:val="24"/>
        </w:rPr>
        <w:t>, Managing Partner</w:t>
      </w:r>
      <w:r w:rsidR="00F92BEB">
        <w:rPr>
          <w:rFonts w:ascii="Palatino Linotype" w:hAnsi="Palatino Linotype"/>
          <w:sz w:val="24"/>
          <w:szCs w:val="24"/>
        </w:rPr>
        <w:t>, Investment Committee</w:t>
      </w:r>
    </w:p>
    <w:p w14:paraId="1061CFEA" w14:textId="166B03B6" w:rsidR="007B690C" w:rsidRDefault="007B690C" w:rsidP="007B690C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Founder of Radix Law in Scottsdale, Arizona which became the first law firm in the country sold to private non-lawyer investors.</w:t>
      </w:r>
    </w:p>
    <w:p w14:paraId="227A19A9" w14:textId="79D73B10" w:rsidR="007B690C" w:rsidRDefault="007B690C" w:rsidP="007B690C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Extensive experience with large transactions (including leading the largest 2017 Arizona transaction on behalf of a client). Known for liquidation sales inside bankruptcy. Speaker at American Bankruptcy Institute conference in Las Vegas.</w:t>
      </w:r>
    </w:p>
    <w:p w14:paraId="01E96F3C" w14:textId="792CB42A" w:rsidR="007B690C" w:rsidRDefault="007B690C" w:rsidP="007B690C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COO of Doceus, an early web development company that first implemented a commercially successful e-commerce campaign. Developer of Associant software suite for Association and Non-Profit Management.</w:t>
      </w:r>
    </w:p>
    <w:p w14:paraId="4308A86B" w14:textId="1721267B" w:rsidR="007B690C" w:rsidRDefault="007B690C" w:rsidP="007B690C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General Counsel of </w:t>
      </w:r>
      <w:proofErr w:type="spellStart"/>
      <w:r>
        <w:rPr>
          <w:rFonts w:ascii="Palatino Linotype" w:hAnsi="Palatino Linotype"/>
          <w:sz w:val="24"/>
          <w:szCs w:val="24"/>
        </w:rPr>
        <w:t>Blueacorn</w:t>
      </w:r>
      <w:proofErr w:type="spellEnd"/>
      <w:r>
        <w:rPr>
          <w:rFonts w:ascii="Palatino Linotype" w:hAnsi="Palatino Linotype"/>
          <w:sz w:val="24"/>
          <w:szCs w:val="24"/>
        </w:rPr>
        <w:t>.</w:t>
      </w:r>
    </w:p>
    <w:p w14:paraId="6DCDFB8C" w14:textId="308CB9E5" w:rsidR="00F92BEB" w:rsidRDefault="00F92BEB" w:rsidP="00F92BEB">
      <w:pPr>
        <w:rPr>
          <w:rFonts w:ascii="Palatino Linotype" w:hAnsi="Palatino Linotype"/>
          <w:sz w:val="24"/>
          <w:szCs w:val="24"/>
        </w:rPr>
      </w:pPr>
    </w:p>
    <w:p w14:paraId="21C457CA" w14:textId="7DC1E565" w:rsidR="00F92BEB" w:rsidRPr="00F92BEB" w:rsidRDefault="00F92BEB" w:rsidP="00F92BEB">
      <w:pPr>
        <w:pStyle w:val="ListParagraph"/>
        <w:numPr>
          <w:ilvl w:val="0"/>
          <w:numId w:val="4"/>
        </w:numPr>
        <w:rPr>
          <w:rFonts w:ascii="Palatino Linotype" w:hAnsi="Palatino Linotype"/>
          <w:color w:val="000000" w:themeColor="text1"/>
          <w:sz w:val="24"/>
          <w:szCs w:val="24"/>
        </w:rPr>
      </w:pPr>
      <w:r w:rsidRPr="00F92BEB">
        <w:rPr>
          <w:rFonts w:ascii="Palatino Linotype" w:hAnsi="Palatino Linotype"/>
          <w:color w:val="000000" w:themeColor="text1"/>
          <w:sz w:val="24"/>
          <w:szCs w:val="24"/>
        </w:rPr>
        <w:t>Eric Donnelly, Investment Committee</w:t>
      </w:r>
    </w:p>
    <w:p w14:paraId="4D83F5B7" w14:textId="2454B938" w:rsidR="007B690C" w:rsidRPr="00F92BEB" w:rsidRDefault="00F92BEB" w:rsidP="00F92BEB">
      <w:pPr>
        <w:pStyle w:val="ListParagraph"/>
        <w:numPr>
          <w:ilvl w:val="0"/>
          <w:numId w:val="7"/>
        </w:numPr>
        <w:rPr>
          <w:rFonts w:ascii="Palatino Linotype" w:hAnsi="Palatino Linotype"/>
          <w:color w:val="000000" w:themeColor="text1"/>
          <w:sz w:val="24"/>
          <w:szCs w:val="24"/>
        </w:rPr>
      </w:pPr>
      <w:r w:rsidRPr="00F92BEB">
        <w:rPr>
          <w:rFonts w:ascii="Palatino Linotype" w:hAnsi="Palatino Linotype"/>
          <w:color w:val="000000" w:themeColor="text1"/>
          <w:sz w:val="24"/>
          <w:szCs w:val="24"/>
        </w:rPr>
        <w:t>CEO of Crossroads Impact Corp. (</w:t>
      </w:r>
      <w:r w:rsidRPr="00F92BEB">
        <w:rPr>
          <w:rFonts w:ascii="Palatino Linotype" w:hAnsi="Palatino Linotype" w:cs="Open Sans"/>
          <w:color w:val="000000" w:themeColor="text1"/>
          <w:sz w:val="24"/>
          <w:szCs w:val="24"/>
          <w:shd w:val="clear" w:color="auto" w:fill="FFFFFF"/>
        </w:rPr>
        <w:t>OTCQB: CRSS)</w:t>
      </w:r>
      <w:r w:rsidRPr="00F92BEB">
        <w:rPr>
          <w:rFonts w:ascii="Palatino Linotype" w:hAnsi="Palatino Linotype" w:cs="Open Sans"/>
          <w:color w:val="000000" w:themeColor="text1"/>
          <w:sz w:val="24"/>
          <w:szCs w:val="24"/>
          <w:shd w:val="clear" w:color="auto" w:fill="FFFFFF"/>
        </w:rPr>
        <w:t>)</w:t>
      </w:r>
    </w:p>
    <w:p w14:paraId="42B202FF" w14:textId="5B0F52F2" w:rsidR="00F92BEB" w:rsidRDefault="00F92BEB" w:rsidP="00F92BEB">
      <w:pPr>
        <w:pStyle w:val="ListParagraph"/>
        <w:numPr>
          <w:ilvl w:val="0"/>
          <w:numId w:val="7"/>
        </w:numPr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 xml:space="preserve">CEO, </w:t>
      </w:r>
      <w:proofErr w:type="spellStart"/>
      <w:r>
        <w:rPr>
          <w:rFonts w:ascii="Palatino Linotype" w:hAnsi="Palatino Linotype"/>
          <w:color w:val="000000" w:themeColor="text1"/>
          <w:sz w:val="24"/>
          <w:szCs w:val="24"/>
        </w:rPr>
        <w:t>LoopBank</w:t>
      </w:r>
      <w:proofErr w:type="spellEnd"/>
    </w:p>
    <w:p w14:paraId="0164DB71" w14:textId="26C3DAEA" w:rsidR="00F92BEB" w:rsidRDefault="00F92BEB" w:rsidP="00F92BEB">
      <w:pPr>
        <w:pStyle w:val="ListParagraph"/>
        <w:numPr>
          <w:ilvl w:val="0"/>
          <w:numId w:val="7"/>
        </w:numPr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 xml:space="preserve">Director, </w:t>
      </w:r>
      <w:proofErr w:type="spellStart"/>
      <w:r>
        <w:rPr>
          <w:rFonts w:ascii="Palatino Linotype" w:hAnsi="Palatino Linotype"/>
          <w:color w:val="000000" w:themeColor="text1"/>
          <w:sz w:val="24"/>
          <w:szCs w:val="24"/>
        </w:rPr>
        <w:t>InBank</w:t>
      </w:r>
      <w:proofErr w:type="spellEnd"/>
    </w:p>
    <w:p w14:paraId="7C578954" w14:textId="45D06436" w:rsidR="00F92BEB" w:rsidRPr="00F92BEB" w:rsidRDefault="00F92BEB" w:rsidP="00F92BEB">
      <w:pPr>
        <w:pStyle w:val="ListParagraph"/>
        <w:numPr>
          <w:ilvl w:val="0"/>
          <w:numId w:val="7"/>
        </w:numPr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Member, Latino Corporate Directors Association</w:t>
      </w:r>
    </w:p>
    <w:p w14:paraId="612B79A4" w14:textId="77777777" w:rsidR="00F92BEB" w:rsidRPr="00F92BEB" w:rsidRDefault="00F92BEB" w:rsidP="007B690C">
      <w:pPr>
        <w:ind w:left="1080"/>
        <w:rPr>
          <w:rFonts w:ascii="Palatino Linotype" w:hAnsi="Palatino Linotype"/>
          <w:color w:val="000000" w:themeColor="text1"/>
          <w:sz w:val="24"/>
          <w:szCs w:val="24"/>
        </w:rPr>
      </w:pPr>
    </w:p>
    <w:p w14:paraId="433F9465" w14:textId="77777777" w:rsidR="007B690C" w:rsidRPr="00F92BEB" w:rsidRDefault="007B690C" w:rsidP="007B690C">
      <w:pPr>
        <w:ind w:left="1080"/>
        <w:rPr>
          <w:rFonts w:ascii="Palatino Linotype" w:hAnsi="Palatino Linotype"/>
          <w:color w:val="000000" w:themeColor="text1"/>
          <w:sz w:val="24"/>
          <w:szCs w:val="24"/>
        </w:rPr>
      </w:pPr>
    </w:p>
    <w:p w14:paraId="1CE9BDAE" w14:textId="7AB5F167" w:rsidR="004D2265" w:rsidRPr="00F92BEB" w:rsidRDefault="00343821" w:rsidP="00F92BE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 w:rsidRPr="00F92BEB">
        <w:rPr>
          <w:rFonts w:ascii="Palatino Linotype" w:hAnsi="Palatino Linotype"/>
          <w:sz w:val="24"/>
          <w:szCs w:val="24"/>
        </w:rPr>
        <w:t>David Rathmann</w:t>
      </w:r>
      <w:r w:rsidR="004D2265" w:rsidRPr="00F92BEB">
        <w:rPr>
          <w:rFonts w:ascii="Palatino Linotype" w:hAnsi="Palatino Linotype"/>
          <w:sz w:val="24"/>
          <w:szCs w:val="24"/>
        </w:rPr>
        <w:t xml:space="preserve">, </w:t>
      </w:r>
      <w:r w:rsidR="00F92BEB" w:rsidRPr="00F92BEB">
        <w:rPr>
          <w:rFonts w:ascii="Palatino Linotype" w:hAnsi="Palatino Linotype"/>
          <w:sz w:val="24"/>
          <w:szCs w:val="24"/>
        </w:rPr>
        <w:t>Director of Credit Analytics.</w:t>
      </w:r>
      <w:r w:rsidR="002A7118" w:rsidRPr="00F92BEB">
        <w:rPr>
          <w:rFonts w:ascii="Palatino Linotype" w:hAnsi="Palatino Linotype"/>
          <w:sz w:val="24"/>
          <w:szCs w:val="24"/>
        </w:rPr>
        <w:t xml:space="preserve"> </w:t>
      </w:r>
      <w:r w:rsidR="004D2265" w:rsidRPr="00F92BEB">
        <w:rPr>
          <w:rFonts w:ascii="Palatino Linotype" w:hAnsi="Palatino Linotype"/>
          <w:sz w:val="24"/>
          <w:szCs w:val="24"/>
        </w:rPr>
        <w:t>Product and data specialist with</w:t>
      </w:r>
      <w:r w:rsidR="00223EE2" w:rsidRPr="00F92BEB">
        <w:rPr>
          <w:rFonts w:ascii="Palatino Linotype" w:hAnsi="Palatino Linotype"/>
          <w:sz w:val="24"/>
          <w:szCs w:val="24"/>
        </w:rPr>
        <w:t xml:space="preserve"> more than 15 years</w:t>
      </w:r>
      <w:r w:rsidR="004D2265" w:rsidRPr="00F92BEB">
        <w:rPr>
          <w:rFonts w:ascii="Palatino Linotype" w:hAnsi="Palatino Linotype"/>
          <w:sz w:val="24"/>
          <w:szCs w:val="24"/>
        </w:rPr>
        <w:t xml:space="preserve"> technology and startup experience.</w:t>
      </w:r>
    </w:p>
    <w:p w14:paraId="1FD4E848" w14:textId="135EA2D4" w:rsidR="00223EE2" w:rsidRDefault="00223EE2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Founded Umuse Communications, which combined email and chat for customer success professionals. Raised $5 million capital and had more than 40,000 users.</w:t>
      </w:r>
    </w:p>
    <w:p w14:paraId="30994FA5" w14:textId="0E3C0E78" w:rsidR="00223EE2" w:rsidRDefault="00223EE2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Led advertising products at Spiceworks and grow from $7 million to $45 million in revenue over 5 years.</w:t>
      </w:r>
    </w:p>
    <w:p w14:paraId="0C170EF2" w14:textId="24AA30E1" w:rsidR="004D2265" w:rsidRDefault="004D2265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Advisor</w:t>
      </w:r>
      <w:r w:rsidR="00223EE2">
        <w:rPr>
          <w:rFonts w:ascii="Palatino Linotype" w:hAnsi="Palatino Linotype"/>
          <w:sz w:val="24"/>
          <w:szCs w:val="24"/>
        </w:rPr>
        <w:t>y Board member</w:t>
      </w:r>
      <w:r>
        <w:rPr>
          <w:rFonts w:ascii="Palatino Linotype" w:hAnsi="Palatino Linotype"/>
          <w:sz w:val="24"/>
          <w:szCs w:val="24"/>
        </w:rPr>
        <w:t xml:space="preserve"> with well-known venture capital firm.</w:t>
      </w:r>
    </w:p>
    <w:p w14:paraId="7A493BB9" w14:textId="4BF44B3C" w:rsidR="004D2265" w:rsidRDefault="004D2265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VP, Products, Blueacorn.</w:t>
      </w:r>
    </w:p>
    <w:p w14:paraId="2ED6356F" w14:textId="77777777" w:rsidR="004D2265" w:rsidRPr="007B690C" w:rsidRDefault="004D2265" w:rsidP="004D2265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14:paraId="527748BA" w14:textId="615EDE7A" w:rsidR="00343821" w:rsidRDefault="000D4976" w:rsidP="004D2265">
      <w:pPr>
        <w:pStyle w:val="ListParagraph"/>
        <w:ind w:left="1080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Matt Yahes</w:t>
      </w:r>
      <w:r w:rsidR="004D2265">
        <w:rPr>
          <w:rFonts w:ascii="Palatino Linotype" w:hAnsi="Palatino Linotype"/>
          <w:sz w:val="24"/>
          <w:szCs w:val="24"/>
        </w:rPr>
        <w:t>, Chief Operating Officer</w:t>
      </w:r>
      <w:r w:rsidR="009D3987">
        <w:rPr>
          <w:rFonts w:ascii="Palatino Linotype" w:hAnsi="Palatino Linotype"/>
          <w:sz w:val="24"/>
          <w:szCs w:val="24"/>
        </w:rPr>
        <w:t xml:space="preserve"> </w:t>
      </w:r>
    </w:p>
    <w:p w14:paraId="66B702AE" w14:textId="6D86F645" w:rsidR="004D2265" w:rsidRDefault="004D2265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Management Consultant at Booz &amp; Company and KPMG</w:t>
      </w:r>
    </w:p>
    <w:p w14:paraId="6DA2B378" w14:textId="3103D2B5" w:rsidR="004D2265" w:rsidRDefault="004D2265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Founder of two companies that grew to more than 1,000 employees</w:t>
      </w:r>
      <w:r w:rsidR="00223EE2">
        <w:rPr>
          <w:rFonts w:ascii="Palatino Linotype" w:hAnsi="Palatino Linotype"/>
          <w:sz w:val="24"/>
          <w:szCs w:val="24"/>
        </w:rPr>
        <w:t>.</w:t>
      </w:r>
    </w:p>
    <w:p w14:paraId="723B2595" w14:textId="3CF0C7F4" w:rsidR="004D2265" w:rsidRPr="006C38C5" w:rsidRDefault="004D2265" w:rsidP="004D2265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COO of Blueacorn.</w:t>
      </w:r>
    </w:p>
    <w:p w14:paraId="35B3D2D6" w14:textId="77777777" w:rsidR="00343821" w:rsidRPr="006C38C5" w:rsidRDefault="00343821" w:rsidP="00343821">
      <w:pPr>
        <w:rPr>
          <w:rFonts w:ascii="Palatino Linotype" w:hAnsi="Palatino Linotype"/>
          <w:sz w:val="24"/>
          <w:szCs w:val="24"/>
        </w:rPr>
      </w:pPr>
    </w:p>
    <w:p w14:paraId="2A7ADC1F" w14:textId="77777777" w:rsidR="00F4389C" w:rsidRDefault="00F4389C" w:rsidP="00F4389C">
      <w:pPr>
        <w:pStyle w:val="ListParagraph"/>
        <w:rPr>
          <w:rFonts w:ascii="Palatino Linotype" w:hAnsi="Palatino Linotype"/>
          <w:sz w:val="24"/>
          <w:szCs w:val="24"/>
        </w:rPr>
      </w:pPr>
    </w:p>
    <w:p w14:paraId="5E017BA9" w14:textId="693A3E1A" w:rsidR="009407D5" w:rsidRPr="006C38C5" w:rsidRDefault="009407D5" w:rsidP="00B333F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The Market</w:t>
      </w:r>
    </w:p>
    <w:p w14:paraId="7A6D5BE9" w14:textId="4631CB06" w:rsidR="000D4D37" w:rsidRPr="006C38C5" w:rsidRDefault="000D4D37" w:rsidP="000D4D37">
      <w:pPr>
        <w:rPr>
          <w:rFonts w:ascii="Palatino Linotype" w:hAnsi="Palatino Linotype"/>
          <w:sz w:val="24"/>
          <w:szCs w:val="24"/>
        </w:rPr>
      </w:pPr>
    </w:p>
    <w:p w14:paraId="3405A5F8" w14:textId="3A31ADD8" w:rsidR="00CF0881" w:rsidRPr="006C38C5" w:rsidRDefault="00985D07" w:rsidP="00CF0881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The commercial lending market size was valued at $8,823.53 billion in 2020, and is projected to reach $29,379.83 billion by 2030, growing at a CAGR of 13.1% from 2021 to 2030.</w:t>
      </w:r>
    </w:p>
    <w:p w14:paraId="629C77FA" w14:textId="27B38DC2" w:rsidR="00985D07" w:rsidRPr="006C38C5" w:rsidRDefault="00985D07" w:rsidP="00CF0881">
      <w:pPr>
        <w:pStyle w:val="ListParagraph"/>
        <w:rPr>
          <w:rFonts w:ascii="Palatino Linotype" w:hAnsi="Palatino Linotype"/>
          <w:sz w:val="24"/>
          <w:szCs w:val="24"/>
        </w:rPr>
      </w:pPr>
    </w:p>
    <w:p w14:paraId="463C9AFA" w14:textId="1AFAE77B" w:rsidR="00AB4CDF" w:rsidRPr="006C38C5" w:rsidRDefault="00091793" w:rsidP="00CF0881">
      <w:pPr>
        <w:pStyle w:val="ListParagraph"/>
        <w:rPr>
          <w:rFonts w:ascii="Palatino Linotype" w:eastAsia="Times New Roman" w:hAnsi="Palatino Linotype"/>
          <w:color w:val="000000"/>
          <w:sz w:val="24"/>
          <w:szCs w:val="24"/>
        </w:rPr>
      </w:pPr>
      <w:r w:rsidRPr="006C38C5">
        <w:rPr>
          <w:rFonts w:ascii="Palatino Linotype" w:eastAsia="Times New Roman" w:hAnsi="Palatino Linotype"/>
          <w:color w:val="000000"/>
          <w:sz w:val="24"/>
          <w:szCs w:val="24"/>
        </w:rPr>
        <w:lastRenderedPageBreak/>
        <w:t xml:space="preserve">Source: </w:t>
      </w:r>
      <w:hyperlink r:id="rId5" w:history="1">
        <w:r w:rsidRPr="006C38C5">
          <w:rPr>
            <w:rStyle w:val="Hyperlink"/>
            <w:rFonts w:ascii="Palatino Linotype" w:eastAsia="Times New Roman" w:hAnsi="Palatino Linotype"/>
            <w:sz w:val="24"/>
            <w:szCs w:val="24"/>
          </w:rPr>
          <w:t>https://www.alliedmarketresearch.com/commercial-lending-market-A11617</w:t>
        </w:r>
      </w:hyperlink>
    </w:p>
    <w:p w14:paraId="77D595F4" w14:textId="77777777" w:rsidR="00AB4CDF" w:rsidRPr="006C38C5" w:rsidRDefault="00AB4CDF" w:rsidP="006C38C5">
      <w:pPr>
        <w:rPr>
          <w:rFonts w:ascii="Palatino Linotype" w:hAnsi="Palatino Linotype"/>
          <w:sz w:val="24"/>
          <w:szCs w:val="24"/>
        </w:rPr>
      </w:pPr>
    </w:p>
    <w:p w14:paraId="061051E1" w14:textId="2FF766B8" w:rsidR="00CF0881" w:rsidRDefault="00ED68F4" w:rsidP="00CF0881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The credit cycle is entering into a period of rising interest rates and corresponding defaults. The fund seeks to take advantage of that emerging opportunity.</w:t>
      </w:r>
    </w:p>
    <w:p w14:paraId="64B9CD14" w14:textId="77777777" w:rsidR="00ED68F4" w:rsidRPr="006C38C5" w:rsidRDefault="00ED68F4" w:rsidP="00CF0881">
      <w:pPr>
        <w:pStyle w:val="ListParagraph"/>
        <w:rPr>
          <w:rFonts w:ascii="Palatino Linotype" w:hAnsi="Palatino Linotype"/>
          <w:sz w:val="24"/>
          <w:szCs w:val="24"/>
        </w:rPr>
      </w:pPr>
    </w:p>
    <w:p w14:paraId="52967B72" w14:textId="54E67071" w:rsidR="009407D5" w:rsidRPr="006C38C5" w:rsidRDefault="009407D5" w:rsidP="00B333F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Our </w:t>
      </w:r>
      <w:proofErr w:type="gramStart"/>
      <w:r w:rsidRPr="006C38C5">
        <w:rPr>
          <w:rFonts w:ascii="Palatino Linotype" w:hAnsi="Palatino Linotype"/>
          <w:sz w:val="24"/>
          <w:szCs w:val="24"/>
        </w:rPr>
        <w:t>Process</w:t>
      </w:r>
      <w:r w:rsidR="002A7118">
        <w:rPr>
          <w:rFonts w:ascii="Palatino Linotype" w:hAnsi="Palatino Linotype"/>
          <w:sz w:val="24"/>
          <w:szCs w:val="24"/>
        </w:rPr>
        <w:t xml:space="preserve">  (</w:t>
      </w:r>
      <w:proofErr w:type="gramEnd"/>
      <w:r w:rsidR="002A7118">
        <w:rPr>
          <w:rFonts w:ascii="Palatino Linotype" w:hAnsi="Palatino Linotype"/>
          <w:sz w:val="24"/>
          <w:szCs w:val="24"/>
        </w:rPr>
        <w:t xml:space="preserve">you may want to have a graphic or timeline here in addition to the features outlined herein. </w:t>
      </w:r>
    </w:p>
    <w:p w14:paraId="3E576D59" w14:textId="65BBE128" w:rsidR="00091793" w:rsidRPr="006C38C5" w:rsidRDefault="00091793" w:rsidP="00091793">
      <w:pPr>
        <w:pStyle w:val="ListParagraph"/>
        <w:rPr>
          <w:rFonts w:ascii="Palatino Linotype" w:hAnsi="Palatino Linotype"/>
          <w:sz w:val="24"/>
          <w:szCs w:val="24"/>
        </w:rPr>
      </w:pPr>
    </w:p>
    <w:p w14:paraId="73B99AC3" w14:textId="5BCC148E" w:rsidR="00091793" w:rsidRPr="006C38C5" w:rsidRDefault="00442AD8" w:rsidP="002B63DE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Work with our lender customers</w:t>
      </w:r>
      <w:r w:rsidR="00196B7F" w:rsidRPr="006C38C5">
        <w:rPr>
          <w:rFonts w:ascii="Palatino Linotype" w:hAnsi="Palatino Linotype"/>
          <w:sz w:val="24"/>
          <w:szCs w:val="24"/>
        </w:rPr>
        <w:t xml:space="preserve"> on their non-performing loan portfolio.</w:t>
      </w:r>
    </w:p>
    <w:p w14:paraId="7B5BCC8E" w14:textId="060AD9AB" w:rsidR="00196B7F" w:rsidRPr="006C38C5" w:rsidRDefault="00165957" w:rsidP="00BD7437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Purchase participation in non-performing loans.</w:t>
      </w:r>
    </w:p>
    <w:p w14:paraId="7811427F" w14:textId="7C2CF2A3" w:rsidR="00B62029" w:rsidRPr="006C38C5" w:rsidRDefault="00165957" w:rsidP="000556F4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Provide special servicing in compliance with bank’s </w:t>
      </w:r>
      <w:r w:rsidR="00B62029" w:rsidRPr="006C38C5">
        <w:rPr>
          <w:rFonts w:ascii="Palatino Linotype" w:hAnsi="Palatino Linotype"/>
          <w:sz w:val="24"/>
          <w:szCs w:val="24"/>
        </w:rPr>
        <w:t>servicing criteria.</w:t>
      </w:r>
    </w:p>
    <w:p w14:paraId="1EE686E4" w14:textId="4213A54B" w:rsidR="0078691B" w:rsidRPr="006C38C5" w:rsidRDefault="0078691B" w:rsidP="000556F4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Provide bank access to NPL platform.</w:t>
      </w:r>
    </w:p>
    <w:p w14:paraId="7425F97F" w14:textId="2DD80BBE" w:rsidR="00B62029" w:rsidRPr="006C38C5" w:rsidRDefault="00DB7E94" w:rsidP="000556F4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Maintain first </w:t>
      </w:r>
      <w:r w:rsidR="00B62029" w:rsidRPr="006C38C5">
        <w:rPr>
          <w:rFonts w:ascii="Palatino Linotype" w:hAnsi="Palatino Linotype"/>
          <w:sz w:val="24"/>
          <w:szCs w:val="24"/>
        </w:rPr>
        <w:t xml:space="preserve">right of refusal to purchase loan using </w:t>
      </w:r>
      <w:r w:rsidR="0078691B" w:rsidRPr="006C38C5">
        <w:rPr>
          <w:rFonts w:ascii="Palatino Linotype" w:hAnsi="Palatino Linotype"/>
          <w:sz w:val="24"/>
          <w:szCs w:val="24"/>
        </w:rPr>
        <w:t xml:space="preserve">proprietary </w:t>
      </w:r>
      <w:r w:rsidR="00B62029" w:rsidRPr="006C38C5">
        <w:rPr>
          <w:rFonts w:ascii="Palatino Linotype" w:hAnsi="Palatino Linotype"/>
          <w:sz w:val="24"/>
          <w:szCs w:val="24"/>
        </w:rPr>
        <w:t>algorithm.</w:t>
      </w:r>
    </w:p>
    <w:p w14:paraId="1AF204F2" w14:textId="54473CCF" w:rsidR="00B62029" w:rsidRPr="006C38C5" w:rsidRDefault="00B62029" w:rsidP="000556F4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Internal servicing</w:t>
      </w:r>
      <w:r w:rsidR="002B63DE" w:rsidRPr="006C38C5">
        <w:rPr>
          <w:rFonts w:ascii="Palatino Linotype" w:hAnsi="Palatino Linotype"/>
          <w:sz w:val="24"/>
          <w:szCs w:val="24"/>
        </w:rPr>
        <w:t xml:space="preserve"> standards.</w:t>
      </w:r>
    </w:p>
    <w:p w14:paraId="7D81558C" w14:textId="315607C6" w:rsidR="00091793" w:rsidRDefault="002B63DE" w:rsidP="00DB7E94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Liquidation, when necessary.</w:t>
      </w:r>
    </w:p>
    <w:p w14:paraId="4C750561" w14:textId="77777777" w:rsidR="007C7B3F" w:rsidRDefault="007C7B3F" w:rsidP="007C7B3F">
      <w:pPr>
        <w:pStyle w:val="ListParagraph"/>
        <w:ind w:left="1080"/>
        <w:rPr>
          <w:rFonts w:ascii="Palatino Linotype" w:hAnsi="Palatino Linotype"/>
          <w:sz w:val="24"/>
          <w:szCs w:val="24"/>
        </w:rPr>
      </w:pPr>
    </w:p>
    <w:p w14:paraId="2D4C492C" w14:textId="2030EDFE" w:rsidR="007C7B3F" w:rsidRDefault="004D2265" w:rsidP="00DB7E9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Initially partner with licensed collection agencies to supplement our in-house abilities</w:t>
      </w:r>
      <w:r w:rsidR="00ED68F4">
        <w:rPr>
          <w:rFonts w:ascii="Palatino Linotype" w:hAnsi="Palatino Linotype"/>
          <w:sz w:val="24"/>
          <w:szCs w:val="24"/>
        </w:rPr>
        <w:t xml:space="preserve"> (and comply with regulatory requirements)</w:t>
      </w:r>
      <w:r>
        <w:rPr>
          <w:rFonts w:ascii="Palatino Linotype" w:hAnsi="Palatino Linotype"/>
          <w:sz w:val="24"/>
          <w:szCs w:val="24"/>
        </w:rPr>
        <w:t xml:space="preserve">. Potential to acquire </w:t>
      </w:r>
      <w:r w:rsidR="00ED68F4">
        <w:rPr>
          <w:rFonts w:ascii="Palatino Linotype" w:hAnsi="Palatino Linotype"/>
          <w:sz w:val="24"/>
          <w:szCs w:val="24"/>
        </w:rPr>
        <w:t>and bring completely in-house.</w:t>
      </w:r>
    </w:p>
    <w:p w14:paraId="7635ECCE" w14:textId="77777777" w:rsidR="00ED68F4" w:rsidRPr="006C38C5" w:rsidRDefault="00ED68F4" w:rsidP="00DB7E94">
      <w:pPr>
        <w:rPr>
          <w:rFonts w:ascii="Palatino Linotype" w:hAnsi="Palatino Linotype"/>
          <w:sz w:val="24"/>
          <w:szCs w:val="24"/>
        </w:rPr>
      </w:pPr>
    </w:p>
    <w:p w14:paraId="3D61B4C7" w14:textId="10995212" w:rsidR="009407D5" w:rsidRPr="006C38C5" w:rsidRDefault="009407D5" w:rsidP="00DB7E9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Our </w:t>
      </w:r>
      <w:r w:rsidR="00C71252" w:rsidRPr="006C38C5">
        <w:rPr>
          <w:rFonts w:ascii="Palatino Linotype" w:hAnsi="Palatino Linotype"/>
          <w:sz w:val="24"/>
          <w:szCs w:val="24"/>
        </w:rPr>
        <w:t>Customers</w:t>
      </w:r>
    </w:p>
    <w:p w14:paraId="72BA473E" w14:textId="4CD389FA" w:rsidR="00091793" w:rsidRPr="006C38C5" w:rsidRDefault="00091793" w:rsidP="00091793">
      <w:pPr>
        <w:rPr>
          <w:rFonts w:ascii="Palatino Linotype" w:hAnsi="Palatino Linotype"/>
          <w:sz w:val="24"/>
          <w:szCs w:val="24"/>
        </w:rPr>
      </w:pPr>
    </w:p>
    <w:p w14:paraId="2763BEC5" w14:textId="3EBD800A" w:rsidR="00091793" w:rsidRPr="006C38C5" w:rsidRDefault="00091793" w:rsidP="00F92BEB">
      <w:pPr>
        <w:pStyle w:val="ListParagraph"/>
        <w:tabs>
          <w:tab w:val="left" w:pos="3156"/>
        </w:tabs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Target Market</w:t>
      </w:r>
      <w:r w:rsidR="002A7118">
        <w:rPr>
          <w:rFonts w:ascii="Palatino Linotype" w:hAnsi="Palatino Linotype"/>
          <w:sz w:val="24"/>
          <w:szCs w:val="24"/>
        </w:rPr>
        <w:t xml:space="preserve"> (It would seem we should narrow the target market and also point out any special relationships, people that Barry can source from last experience or otherwise explain why we have a leg up on pipeline. </w:t>
      </w:r>
    </w:p>
    <w:p w14:paraId="389A5273" w14:textId="77777777" w:rsidR="00091793" w:rsidRPr="006C38C5" w:rsidRDefault="00091793" w:rsidP="0023682D">
      <w:pPr>
        <w:pStyle w:val="ListParagraph"/>
        <w:rPr>
          <w:rFonts w:ascii="Palatino Linotype" w:hAnsi="Palatino Linotype"/>
          <w:sz w:val="24"/>
          <w:szCs w:val="24"/>
        </w:rPr>
      </w:pPr>
    </w:p>
    <w:p w14:paraId="1359D92D" w14:textId="77777777" w:rsidR="00091793" w:rsidRPr="006C38C5" w:rsidRDefault="00091793" w:rsidP="0023682D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Community banks: Nearly 5,000</w:t>
      </w:r>
    </w:p>
    <w:p w14:paraId="78ED4D30" w14:textId="76FF4999" w:rsidR="00091793" w:rsidRPr="006C38C5" w:rsidRDefault="00091793" w:rsidP="0023682D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Mid-Market banks: Approximately 4,000</w:t>
      </w:r>
    </w:p>
    <w:p w14:paraId="0D889BF4" w14:textId="77777777" w:rsidR="00091793" w:rsidRPr="006C38C5" w:rsidRDefault="00091793" w:rsidP="00091793">
      <w:pPr>
        <w:rPr>
          <w:rFonts w:ascii="Palatino Linotype" w:hAnsi="Palatino Linotype"/>
          <w:sz w:val="24"/>
          <w:szCs w:val="24"/>
        </w:rPr>
      </w:pPr>
    </w:p>
    <w:p w14:paraId="7A3BC95F" w14:textId="486783C5" w:rsidR="00565E8F" w:rsidRPr="006C38C5" w:rsidRDefault="00565E8F" w:rsidP="00DB7E9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Advantage: Tech + </w:t>
      </w:r>
      <w:r w:rsidR="00DB7E94" w:rsidRPr="006C38C5">
        <w:rPr>
          <w:rFonts w:ascii="Palatino Linotype" w:hAnsi="Palatino Linotype"/>
          <w:sz w:val="24"/>
          <w:szCs w:val="24"/>
        </w:rPr>
        <w:t>Capital</w:t>
      </w:r>
      <w:r w:rsidR="002A7118">
        <w:rPr>
          <w:rFonts w:ascii="Palatino Linotype" w:hAnsi="Palatino Linotype"/>
          <w:sz w:val="24"/>
          <w:szCs w:val="24"/>
        </w:rPr>
        <w:t xml:space="preserve"> (yes, emphasize high tech approach to understanding credit performance, verification of circumstances etc.  this may be the most important slide.  Capital as a percentage of total and significant co-investment against first round of raise. </w:t>
      </w:r>
    </w:p>
    <w:p w14:paraId="127ED07E" w14:textId="77777777" w:rsidR="00DB7E94" w:rsidRPr="006C38C5" w:rsidRDefault="00DB7E94" w:rsidP="00DB7E94">
      <w:pPr>
        <w:pStyle w:val="ListParagraph"/>
        <w:rPr>
          <w:rFonts w:ascii="Palatino Linotype" w:hAnsi="Palatino Linotype"/>
          <w:sz w:val="24"/>
          <w:szCs w:val="24"/>
        </w:rPr>
      </w:pPr>
    </w:p>
    <w:p w14:paraId="517F99B3" w14:textId="04A9D85A" w:rsidR="00C71252" w:rsidRPr="006C38C5" w:rsidRDefault="009E1E47" w:rsidP="00DB7E9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Management Structure</w:t>
      </w:r>
    </w:p>
    <w:p w14:paraId="0A674A3B" w14:textId="77777777" w:rsidR="001150F1" w:rsidRPr="006C38C5" w:rsidRDefault="001150F1" w:rsidP="001150F1">
      <w:pPr>
        <w:pStyle w:val="ListParagraph"/>
        <w:rPr>
          <w:rFonts w:ascii="Palatino Linotype" w:hAnsi="Palatino Linotype"/>
          <w:sz w:val="24"/>
          <w:szCs w:val="24"/>
        </w:rPr>
      </w:pPr>
    </w:p>
    <w:p w14:paraId="02DD99F0" w14:textId="56B2DDDF" w:rsidR="001150F1" w:rsidRPr="006C38C5" w:rsidRDefault="001150F1" w:rsidP="001150F1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BLSQ Management, LLC to provide management</w:t>
      </w:r>
      <w:r w:rsidR="002A7118">
        <w:rPr>
          <w:rFonts w:ascii="Palatino Linotype" w:hAnsi="Palatino Linotype"/>
          <w:sz w:val="24"/>
          <w:szCs w:val="24"/>
        </w:rPr>
        <w:t xml:space="preserve">- identify that this is the same people as above or just eliminate reference. </w:t>
      </w:r>
    </w:p>
    <w:p w14:paraId="6CD5D57C" w14:textId="77777777" w:rsidR="00524F99" w:rsidRPr="006C38C5" w:rsidRDefault="00524F99" w:rsidP="001150F1">
      <w:pPr>
        <w:pStyle w:val="ListParagraph"/>
        <w:rPr>
          <w:rFonts w:ascii="Palatino Linotype" w:hAnsi="Palatino Linotype"/>
          <w:sz w:val="24"/>
          <w:szCs w:val="24"/>
        </w:rPr>
      </w:pPr>
    </w:p>
    <w:p w14:paraId="2DFAD259" w14:textId="626BF1FA" w:rsidR="001150F1" w:rsidRPr="006C38C5" w:rsidRDefault="001150F1" w:rsidP="001150F1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Eric Donnelly, Barry Calhoun and Jonathan Frutkin to serve on Investment Committee</w:t>
      </w:r>
    </w:p>
    <w:p w14:paraId="622EEE71" w14:textId="71E907D5" w:rsidR="00524F99" w:rsidRPr="006C38C5" w:rsidRDefault="00524F99" w:rsidP="001150F1">
      <w:pPr>
        <w:pStyle w:val="ListParagraph"/>
        <w:rPr>
          <w:rFonts w:ascii="Palatino Linotype" w:hAnsi="Palatino Linotype"/>
          <w:sz w:val="24"/>
          <w:szCs w:val="24"/>
        </w:rPr>
      </w:pPr>
    </w:p>
    <w:p w14:paraId="6E5F6EC4" w14:textId="05144FAB" w:rsidR="009E1E47" w:rsidRPr="006C38C5" w:rsidRDefault="009E1E47" w:rsidP="00DB7E9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Crossroads Co-Sponsored</w:t>
      </w:r>
      <w:r w:rsidR="001137EB" w:rsidRPr="006C38C5">
        <w:rPr>
          <w:rFonts w:ascii="Palatino Linotype" w:hAnsi="Palatino Linotype"/>
          <w:sz w:val="24"/>
          <w:szCs w:val="24"/>
        </w:rPr>
        <w:t xml:space="preserve"> Fund</w:t>
      </w:r>
    </w:p>
    <w:p w14:paraId="7741102F" w14:textId="1616DCB4" w:rsidR="00456F21" w:rsidRPr="006C38C5" w:rsidRDefault="00456F21" w:rsidP="00456F21">
      <w:pPr>
        <w:pStyle w:val="ListParagraph"/>
        <w:rPr>
          <w:rFonts w:ascii="Palatino Linotype" w:hAnsi="Palatino Linotype"/>
          <w:sz w:val="24"/>
          <w:szCs w:val="24"/>
        </w:rPr>
      </w:pPr>
    </w:p>
    <w:p w14:paraId="061DA229" w14:textId="1AF30A9A" w:rsidR="00456F21" w:rsidRPr="006C38C5" w:rsidRDefault="00456F21" w:rsidP="00456F21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Utilize Crossroads network, BLSQ technology</w:t>
      </w:r>
    </w:p>
    <w:p w14:paraId="75B9FDD1" w14:textId="77777777" w:rsidR="00EF6160" w:rsidRPr="006C38C5" w:rsidRDefault="00456F21" w:rsidP="00456F21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>Joint LP Investment</w:t>
      </w:r>
      <w:r w:rsidR="00EF6160" w:rsidRPr="006C38C5">
        <w:rPr>
          <w:rFonts w:ascii="Palatino Linotype" w:hAnsi="Palatino Linotype"/>
          <w:sz w:val="24"/>
          <w:szCs w:val="24"/>
        </w:rPr>
        <w:t>, Crossroads affiliates / partners to provide additional LP Investment</w:t>
      </w:r>
    </w:p>
    <w:p w14:paraId="518288A2" w14:textId="77777777" w:rsidR="00BA744C" w:rsidRPr="006C38C5" w:rsidRDefault="00BA744C" w:rsidP="00456F21">
      <w:pPr>
        <w:pStyle w:val="ListParagraph"/>
        <w:rPr>
          <w:rFonts w:ascii="Palatino Linotype" w:hAnsi="Palatino Linotype"/>
          <w:sz w:val="24"/>
          <w:szCs w:val="24"/>
        </w:rPr>
      </w:pPr>
    </w:p>
    <w:p w14:paraId="78EA6CA4" w14:textId="5A2E1162" w:rsidR="00456F21" w:rsidRPr="006C38C5" w:rsidRDefault="00456F21" w:rsidP="00EF6160">
      <w:pPr>
        <w:pStyle w:val="ListParagraph"/>
        <w:rPr>
          <w:rFonts w:ascii="Palatino Linotype" w:hAnsi="Palatino Linotype"/>
          <w:sz w:val="24"/>
          <w:szCs w:val="24"/>
        </w:rPr>
      </w:pPr>
      <w:r w:rsidRPr="006C38C5">
        <w:rPr>
          <w:rFonts w:ascii="Palatino Linotype" w:hAnsi="Palatino Linotype"/>
          <w:sz w:val="24"/>
          <w:szCs w:val="24"/>
        </w:rPr>
        <w:t xml:space="preserve"> </w:t>
      </w:r>
      <w:r w:rsidR="00EF6160" w:rsidRPr="006C38C5">
        <w:rPr>
          <w:rFonts w:ascii="Palatino Linotype" w:hAnsi="Palatino Linotype"/>
          <w:sz w:val="24"/>
          <w:szCs w:val="24"/>
        </w:rPr>
        <w:t>NPLSquirrel, LLC to be GP, 80% of carry to BLSQ and 20% to C</w:t>
      </w:r>
      <w:r w:rsidR="00F12E1C" w:rsidRPr="006C38C5">
        <w:rPr>
          <w:rFonts w:ascii="Palatino Linotype" w:hAnsi="Palatino Linotype"/>
          <w:sz w:val="24"/>
          <w:szCs w:val="24"/>
        </w:rPr>
        <w:t>rossroads</w:t>
      </w:r>
    </w:p>
    <w:p w14:paraId="0D70125D" w14:textId="77777777" w:rsidR="009F1CE9" w:rsidRPr="006C38C5" w:rsidRDefault="009F1CE9" w:rsidP="009F1CE9">
      <w:pPr>
        <w:pStyle w:val="ListParagraph"/>
        <w:rPr>
          <w:rFonts w:ascii="Palatino Linotype" w:hAnsi="Palatino Linotype"/>
          <w:sz w:val="24"/>
          <w:szCs w:val="24"/>
        </w:rPr>
      </w:pPr>
    </w:p>
    <w:p w14:paraId="72172E46" w14:textId="75EDF4F0" w:rsidR="001137EB" w:rsidRDefault="00F92BEB" w:rsidP="00DB7E94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 w:rsidR="00C61A31" w:rsidRPr="006C38C5">
        <w:rPr>
          <w:rFonts w:ascii="Palatino Linotype" w:hAnsi="Palatino Linotype"/>
          <w:sz w:val="24"/>
          <w:szCs w:val="24"/>
        </w:rPr>
        <w:t>Projected Size of Fund – Initially $200 million, up to $1 billi</w:t>
      </w:r>
      <w:r w:rsidR="008563FA" w:rsidRPr="006C38C5">
        <w:rPr>
          <w:rFonts w:ascii="Palatino Linotype" w:hAnsi="Palatino Linotype"/>
          <w:sz w:val="24"/>
          <w:szCs w:val="24"/>
        </w:rPr>
        <w:t>on</w:t>
      </w:r>
    </w:p>
    <w:p w14:paraId="44DA9206" w14:textId="1020CD52" w:rsidR="00F92BEB" w:rsidRDefault="00F92BEB" w:rsidP="00F92BEB">
      <w:pPr>
        <w:pStyle w:val="ListParagraph"/>
        <w:rPr>
          <w:rFonts w:ascii="Palatino Linotype" w:hAnsi="Palatino Linotype"/>
          <w:sz w:val="24"/>
          <w:szCs w:val="24"/>
        </w:rPr>
      </w:pPr>
    </w:p>
    <w:p w14:paraId="55716DCC" w14:textId="7D5E6CAA" w:rsidR="00F92BEB" w:rsidRDefault="00F92BEB" w:rsidP="00F92BEB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$100 million commitment from BLSQ from funds due from CPF</w:t>
      </w:r>
    </w:p>
    <w:p w14:paraId="2A7BACAC" w14:textId="414DFD12" w:rsidR="00F92BEB" w:rsidRDefault="00F92BEB" w:rsidP="00F92BEB">
      <w:pPr>
        <w:pStyle w:val="ListParagrap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$100 million commitment from Crossroads or its affiliates</w:t>
      </w:r>
    </w:p>
    <w:p w14:paraId="264A4210" w14:textId="77777777" w:rsidR="00F92BEB" w:rsidRDefault="00F92BEB" w:rsidP="00F92BEB">
      <w:pPr>
        <w:pStyle w:val="ListParagraph"/>
        <w:rPr>
          <w:rFonts w:ascii="Palatino Linotype" w:hAnsi="Palatino Linotype"/>
          <w:sz w:val="24"/>
          <w:szCs w:val="24"/>
        </w:rPr>
      </w:pPr>
    </w:p>
    <w:p w14:paraId="5253E86F" w14:textId="1026E059" w:rsidR="00BA744C" w:rsidRPr="00BA744C" w:rsidRDefault="00BA744C" w:rsidP="000D0BE0">
      <w:pPr>
        <w:rPr>
          <w:b/>
          <w:bCs/>
        </w:rPr>
      </w:pPr>
    </w:p>
    <w:sectPr w:rsidR="00BA744C" w:rsidRPr="00BA7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11453"/>
    <w:multiLevelType w:val="hybridMultilevel"/>
    <w:tmpl w:val="B888EF1A"/>
    <w:lvl w:ilvl="0" w:tplc="A6629E7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C822C0"/>
    <w:multiLevelType w:val="hybridMultilevel"/>
    <w:tmpl w:val="04D8190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F5C49"/>
    <w:multiLevelType w:val="hybridMultilevel"/>
    <w:tmpl w:val="B20E31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356C5"/>
    <w:multiLevelType w:val="hybridMultilevel"/>
    <w:tmpl w:val="952092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23A33"/>
    <w:multiLevelType w:val="hybridMultilevel"/>
    <w:tmpl w:val="F92CB5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19B3"/>
    <w:multiLevelType w:val="hybridMultilevel"/>
    <w:tmpl w:val="EE26A5E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010B4A"/>
    <w:multiLevelType w:val="hybridMultilevel"/>
    <w:tmpl w:val="E3609C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5229523">
    <w:abstractNumId w:val="3"/>
  </w:num>
  <w:num w:numId="2" w16cid:durableId="1748457727">
    <w:abstractNumId w:val="4"/>
  </w:num>
  <w:num w:numId="3" w16cid:durableId="846678002">
    <w:abstractNumId w:val="2"/>
  </w:num>
  <w:num w:numId="4" w16cid:durableId="1240552526">
    <w:abstractNumId w:val="6"/>
  </w:num>
  <w:num w:numId="5" w16cid:durableId="418217588">
    <w:abstractNumId w:val="5"/>
  </w:num>
  <w:num w:numId="6" w16cid:durableId="1443841271">
    <w:abstractNumId w:val="1"/>
  </w:num>
  <w:num w:numId="7" w16cid:durableId="1391149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3F4"/>
    <w:rsid w:val="000556F4"/>
    <w:rsid w:val="00062B42"/>
    <w:rsid w:val="00091793"/>
    <w:rsid w:val="000D0BE0"/>
    <w:rsid w:val="000D4976"/>
    <w:rsid w:val="000D4D37"/>
    <w:rsid w:val="001137EB"/>
    <w:rsid w:val="001150F1"/>
    <w:rsid w:val="00142A52"/>
    <w:rsid w:val="00165957"/>
    <w:rsid w:val="00196B7F"/>
    <w:rsid w:val="00223EE2"/>
    <w:rsid w:val="002A7118"/>
    <w:rsid w:val="002B63DE"/>
    <w:rsid w:val="00316785"/>
    <w:rsid w:val="00343821"/>
    <w:rsid w:val="003F5A7F"/>
    <w:rsid w:val="00416967"/>
    <w:rsid w:val="00425811"/>
    <w:rsid w:val="004376F9"/>
    <w:rsid w:val="00442AD8"/>
    <w:rsid w:val="00456F21"/>
    <w:rsid w:val="004D2265"/>
    <w:rsid w:val="004F02C2"/>
    <w:rsid w:val="004F4D73"/>
    <w:rsid w:val="004F5619"/>
    <w:rsid w:val="00500B23"/>
    <w:rsid w:val="0050371B"/>
    <w:rsid w:val="00524F99"/>
    <w:rsid w:val="00565E8F"/>
    <w:rsid w:val="006002DC"/>
    <w:rsid w:val="00663B27"/>
    <w:rsid w:val="006B4D73"/>
    <w:rsid w:val="006C38C5"/>
    <w:rsid w:val="0073594F"/>
    <w:rsid w:val="0078691B"/>
    <w:rsid w:val="007B690C"/>
    <w:rsid w:val="007C54B4"/>
    <w:rsid w:val="007C7B3F"/>
    <w:rsid w:val="007E5DDE"/>
    <w:rsid w:val="00850951"/>
    <w:rsid w:val="008563FA"/>
    <w:rsid w:val="008874CA"/>
    <w:rsid w:val="008B6F3B"/>
    <w:rsid w:val="008E70A2"/>
    <w:rsid w:val="009407D5"/>
    <w:rsid w:val="009533F5"/>
    <w:rsid w:val="009602BF"/>
    <w:rsid w:val="00985D07"/>
    <w:rsid w:val="009D3987"/>
    <w:rsid w:val="009E1E47"/>
    <w:rsid w:val="009F1CE9"/>
    <w:rsid w:val="00A5501C"/>
    <w:rsid w:val="00A57C2B"/>
    <w:rsid w:val="00A7173E"/>
    <w:rsid w:val="00AA0523"/>
    <w:rsid w:val="00AB4CDF"/>
    <w:rsid w:val="00B333F4"/>
    <w:rsid w:val="00B62029"/>
    <w:rsid w:val="00B80A60"/>
    <w:rsid w:val="00BA744C"/>
    <w:rsid w:val="00BD7437"/>
    <w:rsid w:val="00C61A31"/>
    <w:rsid w:val="00C71252"/>
    <w:rsid w:val="00CB4356"/>
    <w:rsid w:val="00CC267E"/>
    <w:rsid w:val="00CF0881"/>
    <w:rsid w:val="00DA1867"/>
    <w:rsid w:val="00DB7E94"/>
    <w:rsid w:val="00E0711A"/>
    <w:rsid w:val="00E742DE"/>
    <w:rsid w:val="00ED5AAA"/>
    <w:rsid w:val="00ED68F4"/>
    <w:rsid w:val="00EE75FF"/>
    <w:rsid w:val="00EF6160"/>
    <w:rsid w:val="00F12E1C"/>
    <w:rsid w:val="00F4389C"/>
    <w:rsid w:val="00F457C9"/>
    <w:rsid w:val="00F7022F"/>
    <w:rsid w:val="00F840C0"/>
    <w:rsid w:val="00F92BEB"/>
    <w:rsid w:val="00FA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D5B53"/>
  <w15:chartTrackingRefBased/>
  <w15:docId w15:val="{8E1A7EE9-6EE3-564B-A10F-93E6414E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3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4C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4C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A7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lliedmarketresearch.com/commercial-lending-market-A116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Frutkin</dc:creator>
  <cp:keywords/>
  <dc:description/>
  <cp:lastModifiedBy>Jonathan Frutkin</cp:lastModifiedBy>
  <cp:revision>2</cp:revision>
  <dcterms:created xsi:type="dcterms:W3CDTF">2022-10-20T13:34:00Z</dcterms:created>
  <dcterms:modified xsi:type="dcterms:W3CDTF">2022-10-20T13:34:00Z</dcterms:modified>
</cp:coreProperties>
</file>